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CE8E" w14:textId="66574CF9" w:rsidR="00087471" w:rsidRDefault="006C1329" w:rsidP="00EF50E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Biografía José Manuel MORA FANDOS</w:t>
      </w:r>
      <w:r>
        <w:rPr>
          <w:rFonts w:ascii="Times New Roman" w:hAnsi="Times New Roman" w:cs="Times New Roman"/>
          <w:sz w:val="24"/>
          <w:szCs w:val="24"/>
        </w:rPr>
        <w:tab/>
      </w:r>
    </w:p>
    <w:p w14:paraId="3E30CA0B" w14:textId="70C3DCD0" w:rsidR="006C1329" w:rsidRDefault="006C1329" w:rsidP="00EF50E8">
      <w:pPr>
        <w:spacing w:line="240" w:lineRule="auto"/>
        <w:ind w:firstLine="284"/>
        <w:jc w:val="both"/>
        <w:rPr>
          <w:rFonts w:ascii="Times New Roman" w:hAnsi="Times New Roman" w:cs="Times New Roman"/>
          <w:sz w:val="24"/>
          <w:szCs w:val="24"/>
        </w:rPr>
      </w:pPr>
    </w:p>
    <w:p w14:paraId="71D4BDBF" w14:textId="51CAA3AB" w:rsidR="006C1329" w:rsidRDefault="006C1329" w:rsidP="00EF50E8">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Torrent (Valencia), España, 1968.</w:t>
      </w:r>
    </w:p>
    <w:p w14:paraId="65F5A75E" w14:textId="77777777" w:rsidR="006C1329" w:rsidRPr="006C1329" w:rsidRDefault="006C1329" w:rsidP="00EF50E8">
      <w:pPr>
        <w:spacing w:line="240" w:lineRule="auto"/>
        <w:ind w:firstLine="284"/>
        <w:jc w:val="both"/>
        <w:rPr>
          <w:rFonts w:ascii="Times New Roman" w:hAnsi="Times New Roman" w:cs="Times New Roman"/>
          <w:sz w:val="24"/>
          <w:szCs w:val="24"/>
        </w:rPr>
      </w:pPr>
    </w:p>
    <w:p w14:paraId="09803436"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Profesor de literatura y escritura creativa en la Universidad Complutense de Madrid (UCM). En el Máster Universitario en Escritura Creativa de dicha Universidad imparte las asignaturas “El oficio de escribir” y “Retórica: composición y análisis”.</w:t>
      </w:r>
    </w:p>
    <w:p w14:paraId="165FBDC8" w14:textId="135AF502"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Pertenece al Departamento de Literaturas Hispánicas y Bibliografía de la Facultad de Filología y es Secretario Académico de la Sección Departamental de dicho Departamento en la Facultad de Ciencias de la Información (UCM).</w:t>
      </w:r>
    </w:p>
    <w:p w14:paraId="7200640A"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Desde 2012 hasta la actualidad, imparte cursos y talleres de escritura creativa en diversas instituciones, como colegios, institutos, librerías, universidades, asociaciones, fundaciones y empresas de diverso tipo.</w:t>
      </w:r>
    </w:p>
    <w:p w14:paraId="140AD14A" w14:textId="2FF7752A"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Ha dado seminarios literatura y escritura creativa en las universidades de Firenze, Sant’Anna de Pisa, Tampere (Finlandia) y Lund (Suecia), Universidad Villanueva (Madrid), Universidad Francisco de Vitoria (Madrid), Universidad Internacional de Andalucía (Sevilla), Universitat Internacional de Catalunya (Barcelona). Junto con su línea de investigación sobre la educación humanística universitaria a través de grandes libros, promueve la escritura creativa como formación de escritores y como acceso experiencial general a la literatura</w:t>
      </w:r>
      <w:r w:rsidR="009F2E93">
        <w:rPr>
          <w:rFonts w:ascii="Times New Roman" w:hAnsi="Times New Roman" w:cs="Times New Roman"/>
          <w:iCs/>
          <w:sz w:val="24"/>
          <w:szCs w:val="24"/>
        </w:rPr>
        <w:t>, aplicable a la enseñanza de la lengua y la literatura</w:t>
      </w:r>
      <w:r w:rsidRPr="006C1329">
        <w:rPr>
          <w:rFonts w:ascii="Times New Roman" w:hAnsi="Times New Roman" w:cs="Times New Roman"/>
          <w:iCs/>
          <w:sz w:val="24"/>
          <w:szCs w:val="24"/>
        </w:rPr>
        <w:t>. Entre sus publicaciones de investigación, destacan (últimos dos años):</w:t>
      </w:r>
    </w:p>
    <w:p w14:paraId="7E0BCEE2" w14:textId="77777777" w:rsidR="006C1329" w:rsidRPr="006C1329" w:rsidRDefault="006C1329" w:rsidP="00EF50E8">
      <w:pPr>
        <w:spacing w:line="240" w:lineRule="auto"/>
        <w:ind w:firstLine="284"/>
        <w:jc w:val="both"/>
        <w:rPr>
          <w:rFonts w:ascii="Times New Roman" w:hAnsi="Times New Roman" w:cs="Times New Roman"/>
          <w:bCs/>
          <w:iCs/>
          <w:sz w:val="24"/>
          <w:szCs w:val="24"/>
          <w:lang w:val="en-US"/>
        </w:rPr>
      </w:pPr>
      <w:r w:rsidRPr="006C1329">
        <w:rPr>
          <w:rFonts w:ascii="Times New Roman" w:hAnsi="Times New Roman" w:cs="Times New Roman"/>
          <w:iCs/>
          <w:sz w:val="24"/>
          <w:szCs w:val="24"/>
          <w:lang w:val="en-US"/>
        </w:rPr>
        <w:t>-</w:t>
      </w:r>
      <w:r w:rsidRPr="006C1329">
        <w:rPr>
          <w:rFonts w:ascii="Times New Roman" w:hAnsi="Times New Roman" w:cs="Times New Roman"/>
          <w:b/>
          <w:bCs/>
          <w:iCs/>
          <w:sz w:val="24"/>
          <w:szCs w:val="24"/>
          <w:lang w:val="en-US"/>
        </w:rPr>
        <w:t xml:space="preserve">In dialogue with </w:t>
      </w:r>
      <w:r w:rsidRPr="006C1329">
        <w:rPr>
          <w:rFonts w:ascii="Times New Roman" w:hAnsi="Times New Roman" w:cs="Times New Roman"/>
          <w:b/>
          <w:bCs/>
          <w:i/>
          <w:iCs/>
          <w:sz w:val="24"/>
          <w:szCs w:val="24"/>
          <w:lang w:val="en-US"/>
        </w:rPr>
        <w:t>Antigone</w:t>
      </w:r>
      <w:r w:rsidRPr="006C1329">
        <w:rPr>
          <w:rFonts w:ascii="Times New Roman" w:hAnsi="Times New Roman" w:cs="Times New Roman"/>
          <w:b/>
          <w:bCs/>
          <w:iCs/>
          <w:sz w:val="24"/>
          <w:szCs w:val="24"/>
          <w:lang w:val="en-US"/>
        </w:rPr>
        <w:t>: Ricoeur’s theory of reading as a tool for designing a core texts course</w:t>
      </w:r>
      <w:r w:rsidRPr="006C1329">
        <w:rPr>
          <w:rFonts w:ascii="Times New Roman" w:hAnsi="Times New Roman" w:cs="Times New Roman"/>
          <w:bCs/>
          <w:iCs/>
          <w:sz w:val="24"/>
          <w:szCs w:val="24"/>
          <w:lang w:val="en-US"/>
        </w:rPr>
        <w:t xml:space="preserve">, en </w:t>
      </w:r>
      <w:r w:rsidRPr="006C1329">
        <w:rPr>
          <w:rFonts w:ascii="Times New Roman" w:hAnsi="Times New Roman" w:cs="Times New Roman"/>
          <w:bCs/>
          <w:i/>
          <w:iCs/>
          <w:sz w:val="24"/>
          <w:szCs w:val="24"/>
          <w:lang w:val="en-US"/>
        </w:rPr>
        <w:t>Literature and Character Education in Universities: Exploring Core Texts from Across the Disciplines</w:t>
      </w:r>
      <w:r w:rsidRPr="006C1329">
        <w:rPr>
          <w:rFonts w:ascii="Times New Roman" w:hAnsi="Times New Roman" w:cs="Times New Roman"/>
          <w:bCs/>
          <w:iCs/>
          <w:sz w:val="24"/>
          <w:szCs w:val="24"/>
          <w:lang w:val="en-US"/>
        </w:rPr>
        <w:t xml:space="preserve">, Ed Brooks, Emma Cohen de Lara, Alvaro Sánchez-Ostiz, José María Torralba (eds.), 2021, Routledge, pp. 34-46 </w:t>
      </w:r>
      <w:hyperlink r:id="rId7" w:history="1">
        <w:r w:rsidRPr="006C1329">
          <w:rPr>
            <w:rStyle w:val="Hipervnculo"/>
            <w:rFonts w:ascii="Times New Roman" w:hAnsi="Times New Roman" w:cs="Times New Roman"/>
            <w:bCs/>
            <w:iCs/>
            <w:sz w:val="24"/>
            <w:szCs w:val="24"/>
            <w:lang w:val="en-US"/>
          </w:rPr>
          <w:t>https://doi.org/10.4324/9781003162209-2</w:t>
        </w:r>
      </w:hyperlink>
    </w:p>
    <w:p w14:paraId="260CAD7D" w14:textId="77777777" w:rsidR="006C1329" w:rsidRPr="006C1329" w:rsidRDefault="006C1329" w:rsidP="00EF50E8">
      <w:pPr>
        <w:spacing w:line="240" w:lineRule="auto"/>
        <w:ind w:firstLine="284"/>
        <w:jc w:val="both"/>
        <w:rPr>
          <w:rFonts w:ascii="Times New Roman" w:hAnsi="Times New Roman" w:cs="Times New Roman"/>
          <w:b/>
          <w:bCs/>
          <w:iCs/>
          <w:sz w:val="24"/>
          <w:szCs w:val="24"/>
        </w:rPr>
      </w:pPr>
      <w:r w:rsidRPr="006C1329">
        <w:rPr>
          <w:rFonts w:ascii="Times New Roman" w:hAnsi="Times New Roman" w:cs="Times New Roman"/>
          <w:b/>
          <w:bCs/>
          <w:iCs/>
          <w:sz w:val="24"/>
          <w:szCs w:val="24"/>
        </w:rPr>
        <w:t>-Galdós como referente para la escritura creativa.</w:t>
      </w:r>
      <w:r w:rsidRPr="006C1329">
        <w:rPr>
          <w:rFonts w:ascii="Times New Roman" w:hAnsi="Times New Roman" w:cs="Times New Roman"/>
          <w:iCs/>
          <w:sz w:val="24"/>
          <w:szCs w:val="24"/>
        </w:rPr>
        <w:t xml:space="preserve"> Libro colectivo. Fragua. Madrid. 2021. </w:t>
      </w:r>
      <w:bookmarkStart w:id="0" w:name="_Hlk70350687"/>
      <w:r w:rsidRPr="006C1329">
        <w:rPr>
          <w:rFonts w:ascii="Times New Roman" w:hAnsi="Times New Roman" w:cs="Times New Roman"/>
          <w:iCs/>
          <w:sz w:val="24"/>
          <w:szCs w:val="24"/>
        </w:rPr>
        <w:t>Pendiente de publicación.</w:t>
      </w:r>
      <w:bookmarkEnd w:id="0"/>
    </w:p>
    <w:p w14:paraId="4F6851C7" w14:textId="77777777" w:rsidR="006C1329" w:rsidRPr="006C1329" w:rsidRDefault="006C1329" w:rsidP="00EF50E8">
      <w:pPr>
        <w:spacing w:line="240" w:lineRule="auto"/>
        <w:ind w:firstLine="284"/>
        <w:jc w:val="both"/>
        <w:rPr>
          <w:rFonts w:ascii="Times New Roman" w:hAnsi="Times New Roman" w:cs="Times New Roman"/>
          <w:b/>
          <w:bCs/>
          <w:iCs/>
          <w:sz w:val="24"/>
          <w:szCs w:val="24"/>
        </w:rPr>
      </w:pPr>
      <w:r w:rsidRPr="006C1329">
        <w:rPr>
          <w:rFonts w:ascii="Times New Roman" w:hAnsi="Times New Roman" w:cs="Times New Roman"/>
          <w:b/>
          <w:bCs/>
          <w:iCs/>
          <w:sz w:val="24"/>
          <w:szCs w:val="24"/>
        </w:rPr>
        <w:t>-Formación y creatividad: una relación de interdependencia en la escritura literaria.</w:t>
      </w:r>
      <w:r w:rsidRPr="006C1329">
        <w:rPr>
          <w:rFonts w:ascii="Times New Roman" w:hAnsi="Times New Roman" w:cs="Times New Roman"/>
          <w:iCs/>
          <w:sz w:val="24"/>
          <w:szCs w:val="24"/>
        </w:rPr>
        <w:t xml:space="preserve"> Libro colectivo. Anthropos.</w:t>
      </w:r>
      <w:r w:rsidRPr="006C1329">
        <w:rPr>
          <w:rFonts w:ascii="Times New Roman" w:hAnsi="Times New Roman" w:cs="Times New Roman"/>
          <w:b/>
          <w:bCs/>
          <w:iCs/>
          <w:sz w:val="24"/>
          <w:szCs w:val="24"/>
        </w:rPr>
        <w:t xml:space="preserve"> </w:t>
      </w:r>
      <w:r w:rsidRPr="006C1329">
        <w:rPr>
          <w:rFonts w:ascii="Times New Roman" w:hAnsi="Times New Roman" w:cs="Times New Roman"/>
          <w:iCs/>
          <w:sz w:val="24"/>
          <w:szCs w:val="24"/>
        </w:rPr>
        <w:t>Universidad de</w:t>
      </w:r>
      <w:r w:rsidRPr="006C1329">
        <w:rPr>
          <w:rFonts w:ascii="Times New Roman" w:hAnsi="Times New Roman" w:cs="Times New Roman"/>
          <w:b/>
          <w:bCs/>
          <w:iCs/>
          <w:sz w:val="24"/>
          <w:szCs w:val="24"/>
        </w:rPr>
        <w:t xml:space="preserve"> </w:t>
      </w:r>
      <w:r w:rsidRPr="006C1329">
        <w:rPr>
          <w:rFonts w:ascii="Times New Roman" w:hAnsi="Times New Roman" w:cs="Times New Roman"/>
          <w:iCs/>
          <w:sz w:val="24"/>
          <w:szCs w:val="24"/>
        </w:rPr>
        <w:t>Querétaro. México. 2021. Pendiente de publicación.</w:t>
      </w:r>
    </w:p>
    <w:p w14:paraId="70161010"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b/>
          <w:bCs/>
          <w:iCs/>
          <w:sz w:val="24"/>
          <w:szCs w:val="24"/>
        </w:rPr>
        <w:t>-Aportaciones de la retórica a la escritura creativa en cuanto disciplina docente universitaria: una propuesta</w:t>
      </w:r>
      <w:r w:rsidRPr="006C1329">
        <w:rPr>
          <w:rFonts w:ascii="Times New Roman" w:hAnsi="Times New Roman" w:cs="Times New Roman"/>
          <w:iCs/>
          <w:sz w:val="24"/>
          <w:szCs w:val="24"/>
        </w:rPr>
        <w:t>, con Christelle Schreiber-Di Cesare, Arbor-CSIC (2020), 196(798), a580,  </w:t>
      </w:r>
      <w:hyperlink r:id="rId8" w:tgtFrame="_blank" w:history="1">
        <w:r w:rsidRPr="006C1329">
          <w:rPr>
            <w:rStyle w:val="Hipervnculo"/>
            <w:rFonts w:ascii="Times New Roman" w:hAnsi="Times New Roman" w:cs="Times New Roman"/>
            <w:iCs/>
            <w:sz w:val="24"/>
            <w:szCs w:val="24"/>
          </w:rPr>
          <w:t>https://doi.org/10.3989/arbor.2020.798n4004</w:t>
        </w:r>
      </w:hyperlink>
      <w:r w:rsidRPr="006C1329">
        <w:rPr>
          <w:rFonts w:ascii="Times New Roman" w:hAnsi="Times New Roman" w:cs="Times New Roman"/>
          <w:iCs/>
          <w:sz w:val="24"/>
          <w:szCs w:val="24"/>
        </w:rPr>
        <w:t>.</w:t>
      </w:r>
    </w:p>
    <w:p w14:paraId="19732EAD"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b/>
          <w:bCs/>
          <w:iCs/>
          <w:sz w:val="24"/>
          <w:szCs w:val="24"/>
        </w:rPr>
        <w:t>-Escritura creativa y acceso comprensivo al sentido</w:t>
      </w:r>
      <w:r w:rsidRPr="006C1329">
        <w:rPr>
          <w:rFonts w:ascii="Times New Roman" w:hAnsi="Times New Roman" w:cs="Times New Roman"/>
          <w:iCs/>
          <w:sz w:val="24"/>
          <w:szCs w:val="24"/>
        </w:rPr>
        <w:t>, en el libro colectivo </w:t>
      </w:r>
      <w:r w:rsidRPr="006C1329">
        <w:rPr>
          <w:rFonts w:ascii="Times New Roman" w:hAnsi="Times New Roman" w:cs="Times New Roman"/>
          <w:i/>
          <w:iCs/>
          <w:sz w:val="24"/>
          <w:szCs w:val="24"/>
        </w:rPr>
        <w:t>El escritorio y el mundo: hallazgos de sentido para la creación literaria</w:t>
      </w:r>
      <w:r w:rsidRPr="006C1329">
        <w:rPr>
          <w:rFonts w:ascii="Times New Roman" w:hAnsi="Times New Roman" w:cs="Times New Roman"/>
          <w:iCs/>
          <w:sz w:val="24"/>
          <w:szCs w:val="24"/>
        </w:rPr>
        <w:t>, Nieto Nuño, Miguel (coord.), Madrid, Verbum, 2020, pp. 59-73.</w:t>
      </w:r>
    </w:p>
    <w:p w14:paraId="72D255DF"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b/>
          <w:bCs/>
          <w:iCs/>
          <w:sz w:val="24"/>
          <w:szCs w:val="24"/>
        </w:rPr>
        <w:t>-Teoría de la mente aplicada a la literatura como valor literario: el caso de Ulises y Argo en la </w:t>
      </w:r>
      <w:r w:rsidRPr="006C1329">
        <w:rPr>
          <w:rFonts w:ascii="Times New Roman" w:hAnsi="Times New Roman" w:cs="Times New Roman"/>
          <w:b/>
          <w:bCs/>
          <w:i/>
          <w:iCs/>
          <w:sz w:val="24"/>
          <w:szCs w:val="24"/>
        </w:rPr>
        <w:t>Odisea</w:t>
      </w:r>
      <w:r w:rsidRPr="006C1329">
        <w:rPr>
          <w:rFonts w:ascii="Times New Roman" w:hAnsi="Times New Roman" w:cs="Times New Roman"/>
          <w:iCs/>
          <w:sz w:val="24"/>
          <w:szCs w:val="24"/>
        </w:rPr>
        <w:t>, con Daniel Vela Valldecabres, </w:t>
      </w:r>
      <w:r w:rsidRPr="006C1329">
        <w:rPr>
          <w:rFonts w:ascii="Times New Roman" w:hAnsi="Times New Roman" w:cs="Times New Roman"/>
          <w:i/>
          <w:iCs/>
          <w:sz w:val="24"/>
          <w:szCs w:val="24"/>
        </w:rPr>
        <w:t>Tonos digital: Revista de estudios filológicos</w:t>
      </w:r>
      <w:r w:rsidRPr="006C1329">
        <w:rPr>
          <w:rFonts w:ascii="Times New Roman" w:hAnsi="Times New Roman" w:cs="Times New Roman"/>
          <w:iCs/>
          <w:sz w:val="24"/>
          <w:szCs w:val="24"/>
        </w:rPr>
        <w:t>, 2020, Online ISSN-e 1577-6921, Nº. 38.</w:t>
      </w:r>
    </w:p>
    <w:p w14:paraId="0A35409B"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w:t>
      </w:r>
      <w:r w:rsidRPr="006C1329">
        <w:rPr>
          <w:rFonts w:ascii="Times New Roman" w:hAnsi="Times New Roman" w:cs="Times New Roman"/>
          <w:b/>
          <w:iCs/>
          <w:sz w:val="24"/>
          <w:szCs w:val="24"/>
        </w:rPr>
        <w:t>“Descubrir relaciones con lo otro”. Confirmaciones extrafilológicas del valor de la comunicación literaria</w:t>
      </w:r>
      <w:r w:rsidRPr="006C1329">
        <w:rPr>
          <w:rFonts w:ascii="Times New Roman" w:hAnsi="Times New Roman" w:cs="Times New Roman"/>
          <w:iCs/>
          <w:sz w:val="24"/>
          <w:szCs w:val="24"/>
        </w:rPr>
        <w:t xml:space="preserve">, en Luis Alburquerque-García, José Luis García Barrientos, </w:t>
      </w:r>
      <w:r w:rsidRPr="006C1329">
        <w:rPr>
          <w:rFonts w:ascii="Times New Roman" w:hAnsi="Times New Roman" w:cs="Times New Roman"/>
          <w:iCs/>
          <w:sz w:val="24"/>
          <w:szCs w:val="24"/>
        </w:rPr>
        <w:lastRenderedPageBreak/>
        <w:t xml:space="preserve">Antonio Garrido Domínguez, Ana Suárez Miramón (Coord.), </w:t>
      </w:r>
      <w:r w:rsidRPr="006C1329">
        <w:rPr>
          <w:rFonts w:ascii="Times New Roman" w:hAnsi="Times New Roman" w:cs="Times New Roman"/>
          <w:i/>
          <w:iCs/>
          <w:sz w:val="24"/>
          <w:szCs w:val="24"/>
        </w:rPr>
        <w:t>Vir Bonus Dicendi Peritus.</w:t>
      </w:r>
      <w:r w:rsidRPr="006C1329">
        <w:rPr>
          <w:rFonts w:ascii="Times New Roman" w:hAnsi="Times New Roman" w:cs="Times New Roman"/>
          <w:iCs/>
          <w:sz w:val="24"/>
          <w:szCs w:val="24"/>
        </w:rPr>
        <w:t xml:space="preserve"> </w:t>
      </w:r>
      <w:r w:rsidRPr="006C1329">
        <w:rPr>
          <w:rFonts w:ascii="Times New Roman" w:hAnsi="Times New Roman" w:cs="Times New Roman"/>
          <w:i/>
          <w:iCs/>
          <w:sz w:val="24"/>
          <w:szCs w:val="24"/>
        </w:rPr>
        <w:t>Homenaje al Profesor Miguel Ángel Garrido Gallardo</w:t>
      </w:r>
      <w:r w:rsidRPr="006C1329">
        <w:rPr>
          <w:rFonts w:ascii="Times New Roman" w:hAnsi="Times New Roman" w:cs="Times New Roman"/>
          <w:iCs/>
          <w:sz w:val="24"/>
          <w:szCs w:val="24"/>
        </w:rPr>
        <w:t>, Madrid, CSIC, 2019, pp. 1025-1032. ISBN 9788400104580</w:t>
      </w:r>
    </w:p>
    <w:p w14:paraId="37FC1FB3"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 xml:space="preserve">Es autor de los ensayos </w:t>
      </w:r>
      <w:r w:rsidRPr="006C1329">
        <w:rPr>
          <w:rFonts w:ascii="Times New Roman" w:hAnsi="Times New Roman" w:cs="Times New Roman"/>
          <w:b/>
          <w:bCs/>
          <w:sz w:val="24"/>
          <w:szCs w:val="24"/>
        </w:rPr>
        <w:t>Leer o no leer. Sobre identidad en la Sociedad de la Información</w:t>
      </w:r>
      <w:r w:rsidRPr="006C1329">
        <w:rPr>
          <w:rFonts w:ascii="Times New Roman" w:hAnsi="Times New Roman" w:cs="Times New Roman"/>
          <w:iCs/>
          <w:sz w:val="24"/>
          <w:szCs w:val="24"/>
        </w:rPr>
        <w:t xml:space="preserve"> (Biblioteca Nueva, 2010) y </w:t>
      </w:r>
      <w:r w:rsidRPr="006C1329">
        <w:rPr>
          <w:rFonts w:ascii="Times New Roman" w:hAnsi="Times New Roman" w:cs="Times New Roman"/>
          <w:b/>
          <w:bCs/>
          <w:sz w:val="24"/>
          <w:szCs w:val="24"/>
        </w:rPr>
        <w:t>Tan bella, tan cerca. Escritos sobre estética y vida cotidiana</w:t>
      </w:r>
      <w:r w:rsidRPr="006C1329">
        <w:rPr>
          <w:rFonts w:ascii="Times New Roman" w:hAnsi="Times New Roman" w:cs="Times New Roman"/>
          <w:iCs/>
          <w:sz w:val="24"/>
          <w:szCs w:val="24"/>
        </w:rPr>
        <w:t xml:space="preserve"> (</w:t>
      </w:r>
      <w:bookmarkStart w:id="1" w:name="_Hlk68533737"/>
      <w:r w:rsidRPr="006C1329">
        <w:rPr>
          <w:rFonts w:ascii="Times New Roman" w:hAnsi="Times New Roman" w:cs="Times New Roman"/>
          <w:iCs/>
          <w:sz w:val="24"/>
          <w:szCs w:val="24"/>
        </w:rPr>
        <w:t>La Isla de Siltolá</w:t>
      </w:r>
      <w:bookmarkEnd w:id="1"/>
      <w:r w:rsidRPr="006C1329">
        <w:rPr>
          <w:rFonts w:ascii="Times New Roman" w:hAnsi="Times New Roman" w:cs="Times New Roman"/>
          <w:iCs/>
          <w:sz w:val="24"/>
          <w:szCs w:val="24"/>
        </w:rPr>
        <w:t xml:space="preserve">, 2011). </w:t>
      </w:r>
    </w:p>
    <w:p w14:paraId="5E58E201"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 xml:space="preserve">Ha traducido y editado </w:t>
      </w:r>
      <w:r w:rsidRPr="006C1329">
        <w:rPr>
          <w:rFonts w:ascii="Times New Roman" w:hAnsi="Times New Roman" w:cs="Times New Roman"/>
          <w:b/>
          <w:bCs/>
          <w:sz w:val="24"/>
          <w:szCs w:val="24"/>
        </w:rPr>
        <w:t>El arte de la ficción. Henry James</w:t>
      </w:r>
      <w:r w:rsidRPr="006C1329">
        <w:rPr>
          <w:rFonts w:ascii="Times New Roman" w:hAnsi="Times New Roman" w:cs="Times New Roman"/>
          <w:i/>
          <w:iCs/>
          <w:sz w:val="24"/>
          <w:szCs w:val="24"/>
        </w:rPr>
        <w:t xml:space="preserve"> </w:t>
      </w:r>
      <w:r w:rsidRPr="006C1329">
        <w:rPr>
          <w:rFonts w:ascii="Times New Roman" w:hAnsi="Times New Roman" w:cs="Times New Roman"/>
          <w:iCs/>
          <w:sz w:val="24"/>
          <w:szCs w:val="24"/>
        </w:rPr>
        <w:t xml:space="preserve">(Fragua, 2019), y </w:t>
      </w:r>
      <w:r w:rsidRPr="006C1329">
        <w:rPr>
          <w:rFonts w:ascii="Times New Roman" w:hAnsi="Times New Roman" w:cs="Times New Roman"/>
          <w:b/>
          <w:bCs/>
          <w:sz w:val="24"/>
          <w:szCs w:val="24"/>
        </w:rPr>
        <w:t>Poemas escogidos. William Wordsworth</w:t>
      </w:r>
      <w:r w:rsidRPr="006C1329">
        <w:rPr>
          <w:rFonts w:ascii="Times New Roman" w:hAnsi="Times New Roman" w:cs="Times New Roman"/>
          <w:iCs/>
          <w:sz w:val="24"/>
          <w:szCs w:val="24"/>
        </w:rPr>
        <w:t xml:space="preserve"> (La Isla de Siltolá, 2015). </w:t>
      </w:r>
    </w:p>
    <w:p w14:paraId="12E32140" w14:textId="77777777" w:rsidR="006C1329" w:rsidRPr="006C1329" w:rsidRDefault="006C1329" w:rsidP="00EF50E8">
      <w:pPr>
        <w:spacing w:line="240" w:lineRule="auto"/>
        <w:ind w:firstLine="284"/>
        <w:jc w:val="both"/>
        <w:rPr>
          <w:rFonts w:ascii="Times New Roman" w:hAnsi="Times New Roman" w:cs="Times New Roman"/>
          <w:iCs/>
          <w:sz w:val="24"/>
          <w:szCs w:val="24"/>
        </w:rPr>
      </w:pPr>
      <w:r w:rsidRPr="006C1329">
        <w:rPr>
          <w:rFonts w:ascii="Times New Roman" w:hAnsi="Times New Roman" w:cs="Times New Roman"/>
          <w:iCs/>
          <w:sz w:val="24"/>
          <w:szCs w:val="24"/>
        </w:rPr>
        <w:t xml:space="preserve">Como escritor ha ganado varios premios literarios en poesía y relato, como el Miguel de Unamuno de Cuentos, Hucha de Oro de Cuentos (finalista), Vila de Mislata de Poesía, Miguel Hernández de poesía (tercer premio). Su último poemario es </w:t>
      </w:r>
      <w:r w:rsidRPr="006C1329">
        <w:rPr>
          <w:rFonts w:ascii="Times New Roman" w:hAnsi="Times New Roman" w:cs="Times New Roman"/>
          <w:i/>
          <w:iCs/>
          <w:sz w:val="24"/>
          <w:szCs w:val="24"/>
        </w:rPr>
        <w:t>Línea discontinua</w:t>
      </w:r>
      <w:r w:rsidRPr="006C1329">
        <w:rPr>
          <w:rFonts w:ascii="Times New Roman" w:hAnsi="Times New Roman" w:cs="Times New Roman"/>
          <w:iCs/>
          <w:sz w:val="24"/>
          <w:szCs w:val="24"/>
        </w:rPr>
        <w:t xml:space="preserve"> (Pre-Textos, 2021).</w:t>
      </w:r>
    </w:p>
    <w:p w14:paraId="24FB0915" w14:textId="77777777" w:rsidR="006C1329" w:rsidRPr="00F249E1" w:rsidRDefault="006C1329" w:rsidP="00EF50E8">
      <w:pPr>
        <w:spacing w:line="240" w:lineRule="auto"/>
        <w:ind w:firstLine="284"/>
        <w:jc w:val="both"/>
        <w:rPr>
          <w:rFonts w:ascii="Times New Roman" w:hAnsi="Times New Roman" w:cs="Times New Roman"/>
          <w:sz w:val="24"/>
          <w:szCs w:val="24"/>
        </w:rPr>
      </w:pPr>
    </w:p>
    <w:sectPr w:rsidR="006C1329" w:rsidRPr="00F249E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5D29" w14:textId="77777777" w:rsidR="00CA67DF" w:rsidRDefault="00CA67DF" w:rsidP="00BB586E">
      <w:pPr>
        <w:spacing w:after="0" w:line="240" w:lineRule="auto"/>
      </w:pPr>
      <w:r>
        <w:separator/>
      </w:r>
    </w:p>
  </w:endnote>
  <w:endnote w:type="continuationSeparator" w:id="0">
    <w:p w14:paraId="70BA09EE" w14:textId="77777777" w:rsidR="00CA67DF" w:rsidRDefault="00CA67DF" w:rsidP="00BB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09AF" w14:textId="77777777" w:rsidR="00BB586E" w:rsidRPr="00BB586E" w:rsidRDefault="00BB586E">
    <w:pPr>
      <w:pStyle w:val="Piedepgina"/>
      <w:jc w:val="center"/>
      <w:rPr>
        <w:rFonts w:ascii="Times New Roman" w:hAnsi="Times New Roman" w:cs="Times New Roman"/>
        <w:caps/>
        <w:color w:val="4472C4" w:themeColor="accent1"/>
      </w:rPr>
    </w:pPr>
    <w:r w:rsidRPr="00BB586E">
      <w:rPr>
        <w:rFonts w:ascii="Times New Roman" w:hAnsi="Times New Roman" w:cs="Times New Roman"/>
        <w:caps/>
        <w:color w:val="4472C4" w:themeColor="accent1"/>
      </w:rPr>
      <w:fldChar w:fldCharType="begin"/>
    </w:r>
    <w:r w:rsidRPr="00BB586E">
      <w:rPr>
        <w:rFonts w:ascii="Times New Roman" w:hAnsi="Times New Roman" w:cs="Times New Roman"/>
        <w:caps/>
        <w:color w:val="4472C4" w:themeColor="accent1"/>
      </w:rPr>
      <w:instrText>PAGE   \* MERGEFORMAT</w:instrText>
    </w:r>
    <w:r w:rsidRPr="00BB586E">
      <w:rPr>
        <w:rFonts w:ascii="Times New Roman" w:hAnsi="Times New Roman" w:cs="Times New Roman"/>
        <w:caps/>
        <w:color w:val="4472C4" w:themeColor="accent1"/>
      </w:rPr>
      <w:fldChar w:fldCharType="separate"/>
    </w:r>
    <w:r w:rsidRPr="00BB586E">
      <w:rPr>
        <w:rFonts w:ascii="Times New Roman" w:hAnsi="Times New Roman" w:cs="Times New Roman"/>
        <w:caps/>
        <w:color w:val="4472C4" w:themeColor="accent1"/>
      </w:rPr>
      <w:t>2</w:t>
    </w:r>
    <w:r w:rsidRPr="00BB586E">
      <w:rPr>
        <w:rFonts w:ascii="Times New Roman" w:hAnsi="Times New Roman" w:cs="Times New Roman"/>
        <w:caps/>
        <w:color w:val="4472C4" w:themeColor="accent1"/>
      </w:rPr>
      <w:fldChar w:fldCharType="end"/>
    </w:r>
  </w:p>
  <w:p w14:paraId="3213DEBA" w14:textId="77777777" w:rsidR="00BB586E" w:rsidRDefault="00BB586E" w:rsidP="00BB586E">
    <w:pPr>
      <w:pStyle w:val="Piedepgina"/>
      <w:ind w:firstLine="28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F6CF" w14:textId="77777777" w:rsidR="00CA67DF" w:rsidRDefault="00CA67DF" w:rsidP="00BB586E">
      <w:pPr>
        <w:spacing w:after="0" w:line="240" w:lineRule="auto"/>
      </w:pPr>
      <w:r>
        <w:separator/>
      </w:r>
    </w:p>
  </w:footnote>
  <w:footnote w:type="continuationSeparator" w:id="0">
    <w:p w14:paraId="3F990E7B" w14:textId="77777777" w:rsidR="00CA67DF" w:rsidRDefault="00CA67DF" w:rsidP="00BB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6604"/>
    <w:multiLevelType w:val="multilevel"/>
    <w:tmpl w:val="0D4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E"/>
    <w:rsid w:val="00012488"/>
    <w:rsid w:val="00052E09"/>
    <w:rsid w:val="00054B30"/>
    <w:rsid w:val="00087471"/>
    <w:rsid w:val="000E7114"/>
    <w:rsid w:val="001110C8"/>
    <w:rsid w:val="001351B8"/>
    <w:rsid w:val="00201F4C"/>
    <w:rsid w:val="002676A7"/>
    <w:rsid w:val="00267D98"/>
    <w:rsid w:val="002B2DDA"/>
    <w:rsid w:val="002F16D7"/>
    <w:rsid w:val="00316025"/>
    <w:rsid w:val="00325249"/>
    <w:rsid w:val="0038239A"/>
    <w:rsid w:val="003D071C"/>
    <w:rsid w:val="00405172"/>
    <w:rsid w:val="004B6B91"/>
    <w:rsid w:val="004F5D63"/>
    <w:rsid w:val="0052575B"/>
    <w:rsid w:val="00596004"/>
    <w:rsid w:val="005E0526"/>
    <w:rsid w:val="006017A5"/>
    <w:rsid w:val="00692B6C"/>
    <w:rsid w:val="006C1329"/>
    <w:rsid w:val="006D1691"/>
    <w:rsid w:val="00705F7F"/>
    <w:rsid w:val="0072337B"/>
    <w:rsid w:val="00777DF6"/>
    <w:rsid w:val="007A7C74"/>
    <w:rsid w:val="008741ED"/>
    <w:rsid w:val="00885628"/>
    <w:rsid w:val="008B3E0E"/>
    <w:rsid w:val="0091262C"/>
    <w:rsid w:val="00931D75"/>
    <w:rsid w:val="009C24BE"/>
    <w:rsid w:val="009E14B2"/>
    <w:rsid w:val="009F2E93"/>
    <w:rsid w:val="00A01CAD"/>
    <w:rsid w:val="00A341D6"/>
    <w:rsid w:val="00A60C0E"/>
    <w:rsid w:val="00B31776"/>
    <w:rsid w:val="00B554ED"/>
    <w:rsid w:val="00B661DE"/>
    <w:rsid w:val="00BB586E"/>
    <w:rsid w:val="00C00485"/>
    <w:rsid w:val="00C426A0"/>
    <w:rsid w:val="00CA67DF"/>
    <w:rsid w:val="00D070DA"/>
    <w:rsid w:val="00D1497F"/>
    <w:rsid w:val="00D91CCD"/>
    <w:rsid w:val="00D95F87"/>
    <w:rsid w:val="00DC352B"/>
    <w:rsid w:val="00DE0712"/>
    <w:rsid w:val="00E53F05"/>
    <w:rsid w:val="00E57A8C"/>
    <w:rsid w:val="00E63E4A"/>
    <w:rsid w:val="00EC6E24"/>
    <w:rsid w:val="00ED1C4B"/>
    <w:rsid w:val="00EF1F95"/>
    <w:rsid w:val="00EF50E8"/>
    <w:rsid w:val="00EF5BF7"/>
    <w:rsid w:val="00F249E1"/>
    <w:rsid w:val="00F51EB0"/>
    <w:rsid w:val="00F92967"/>
    <w:rsid w:val="00FC22B0"/>
    <w:rsid w:val="00FE4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
    </o:shapedefaults>
    <o:shapelayout v:ext="edit">
      <o:idmap v:ext="edit" data="1"/>
    </o:shapelayout>
  </w:shapeDefaults>
  <w:decimalSymbol w:val=","/>
  <w:listSeparator w:val=";"/>
  <w14:docId w14:val="195BFA6C"/>
  <w15:chartTrackingRefBased/>
  <w15:docId w15:val="{954F6061-9FEE-4FF1-B1B9-CAE79B27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uiPriority w:val="9"/>
    <w:semiHidden/>
    <w:unhideWhenUsed/>
    <w:qFormat/>
    <w:rsid w:val="00931D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6E"/>
  </w:style>
  <w:style w:type="paragraph" w:styleId="Piedepgina">
    <w:name w:val="footer"/>
    <w:basedOn w:val="Normal"/>
    <w:link w:val="PiedepginaCar"/>
    <w:uiPriority w:val="99"/>
    <w:unhideWhenUsed/>
    <w:rsid w:val="00BB58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6E"/>
  </w:style>
  <w:style w:type="character" w:customStyle="1" w:styleId="Ttulo6Car">
    <w:name w:val="Título 6 Car"/>
    <w:basedOn w:val="Fuentedeprrafopredeter"/>
    <w:link w:val="Ttulo6"/>
    <w:uiPriority w:val="9"/>
    <w:semiHidden/>
    <w:rsid w:val="00931D75"/>
    <w:rPr>
      <w:rFonts w:asciiTheme="majorHAnsi" w:eastAsiaTheme="majorEastAsia" w:hAnsiTheme="majorHAnsi" w:cstheme="majorBidi"/>
      <w:color w:val="1F3763" w:themeColor="accent1" w:themeShade="7F"/>
    </w:rPr>
  </w:style>
  <w:style w:type="paragraph" w:styleId="Textonotapie">
    <w:name w:val="footnote text"/>
    <w:basedOn w:val="Normal"/>
    <w:link w:val="TextonotapieCar"/>
    <w:uiPriority w:val="99"/>
    <w:semiHidden/>
    <w:unhideWhenUsed/>
    <w:rsid w:val="00201F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1F4C"/>
    <w:rPr>
      <w:sz w:val="20"/>
      <w:szCs w:val="20"/>
    </w:rPr>
  </w:style>
  <w:style w:type="character" w:styleId="Refdenotaalpie">
    <w:name w:val="footnote reference"/>
    <w:semiHidden/>
    <w:rsid w:val="00201F4C"/>
    <w:rPr>
      <w:vertAlign w:val="superscript"/>
    </w:rPr>
  </w:style>
  <w:style w:type="character" w:styleId="Hipervnculo">
    <w:name w:val="Hyperlink"/>
    <w:basedOn w:val="Fuentedeprrafopredeter"/>
    <w:uiPriority w:val="99"/>
    <w:unhideWhenUsed/>
    <w:rsid w:val="00201F4C"/>
    <w:rPr>
      <w:color w:val="0563C1" w:themeColor="hyperlink"/>
      <w:u w:val="single"/>
    </w:rPr>
  </w:style>
  <w:style w:type="character" w:styleId="Mencinsinresolver">
    <w:name w:val="Unresolved Mention"/>
    <w:basedOn w:val="Fuentedeprrafopredeter"/>
    <w:uiPriority w:val="99"/>
    <w:semiHidden/>
    <w:unhideWhenUsed/>
    <w:rsid w:val="00201F4C"/>
    <w:rPr>
      <w:color w:val="605E5C"/>
      <w:shd w:val="clear" w:color="auto" w:fill="E1DFDD"/>
    </w:rPr>
  </w:style>
  <w:style w:type="table" w:styleId="Tablaconcuadrcula">
    <w:name w:val="Table Grid"/>
    <w:basedOn w:val="Tablanormal"/>
    <w:uiPriority w:val="39"/>
    <w:rsid w:val="002F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889">
      <w:bodyDiv w:val="1"/>
      <w:marLeft w:val="0"/>
      <w:marRight w:val="0"/>
      <w:marTop w:val="0"/>
      <w:marBottom w:val="0"/>
      <w:divBdr>
        <w:top w:val="none" w:sz="0" w:space="0" w:color="auto"/>
        <w:left w:val="none" w:sz="0" w:space="0" w:color="auto"/>
        <w:bottom w:val="none" w:sz="0" w:space="0" w:color="auto"/>
        <w:right w:val="none" w:sz="0" w:space="0" w:color="auto"/>
      </w:divBdr>
      <w:divsChild>
        <w:div w:id="445540944">
          <w:marLeft w:val="0"/>
          <w:marRight w:val="0"/>
          <w:marTop w:val="0"/>
          <w:marBottom w:val="0"/>
          <w:divBdr>
            <w:top w:val="none" w:sz="0" w:space="0" w:color="auto"/>
            <w:left w:val="none" w:sz="0" w:space="0" w:color="auto"/>
            <w:bottom w:val="none" w:sz="0" w:space="0" w:color="auto"/>
            <w:right w:val="none" w:sz="0" w:space="0" w:color="auto"/>
          </w:divBdr>
        </w:div>
        <w:div w:id="1840609487">
          <w:marLeft w:val="0"/>
          <w:marRight w:val="5220"/>
          <w:marTop w:val="0"/>
          <w:marBottom w:val="0"/>
          <w:divBdr>
            <w:top w:val="single" w:sz="6" w:space="0" w:color="000000"/>
            <w:left w:val="none" w:sz="0" w:space="0" w:color="auto"/>
            <w:bottom w:val="none" w:sz="0" w:space="0" w:color="auto"/>
            <w:right w:val="none" w:sz="0" w:space="0" w:color="auto"/>
          </w:divBdr>
        </w:div>
        <w:div w:id="914584178">
          <w:marLeft w:val="0"/>
          <w:marRight w:val="0"/>
          <w:marTop w:val="0"/>
          <w:marBottom w:val="0"/>
          <w:divBdr>
            <w:top w:val="none" w:sz="0" w:space="0" w:color="auto"/>
            <w:left w:val="none" w:sz="0" w:space="0" w:color="auto"/>
            <w:bottom w:val="none" w:sz="0" w:space="0" w:color="auto"/>
            <w:right w:val="none" w:sz="0" w:space="0" w:color="auto"/>
          </w:divBdr>
          <w:divsChild>
            <w:div w:id="1561819324">
              <w:marLeft w:val="0"/>
              <w:marRight w:val="0"/>
              <w:marTop w:val="0"/>
              <w:marBottom w:val="0"/>
              <w:divBdr>
                <w:top w:val="none" w:sz="0" w:space="0" w:color="auto"/>
                <w:left w:val="none" w:sz="0" w:space="0" w:color="auto"/>
                <w:bottom w:val="none" w:sz="0" w:space="0" w:color="auto"/>
                <w:right w:val="none" w:sz="0" w:space="0" w:color="auto"/>
              </w:divBdr>
              <w:divsChild>
                <w:div w:id="1262298914">
                  <w:marLeft w:val="0"/>
                  <w:marRight w:val="0"/>
                  <w:marTop w:val="0"/>
                  <w:marBottom w:val="0"/>
                  <w:divBdr>
                    <w:top w:val="none" w:sz="0" w:space="0" w:color="auto"/>
                    <w:left w:val="none" w:sz="0" w:space="0" w:color="auto"/>
                    <w:bottom w:val="none" w:sz="0" w:space="0" w:color="auto"/>
                    <w:right w:val="none" w:sz="0" w:space="0" w:color="auto"/>
                  </w:divBdr>
                  <w:divsChild>
                    <w:div w:id="1390035609">
                      <w:marLeft w:val="0"/>
                      <w:marRight w:val="0"/>
                      <w:marTop w:val="0"/>
                      <w:marBottom w:val="0"/>
                      <w:divBdr>
                        <w:top w:val="none" w:sz="0" w:space="0" w:color="auto"/>
                        <w:left w:val="none" w:sz="0" w:space="0" w:color="auto"/>
                        <w:bottom w:val="none" w:sz="0" w:space="0" w:color="auto"/>
                        <w:right w:val="none" w:sz="0" w:space="0" w:color="auto"/>
                      </w:divBdr>
                    </w:div>
                    <w:div w:id="890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8757">
              <w:marLeft w:val="0"/>
              <w:marRight w:val="0"/>
              <w:marTop w:val="0"/>
              <w:marBottom w:val="0"/>
              <w:divBdr>
                <w:top w:val="none" w:sz="0" w:space="0" w:color="auto"/>
                <w:left w:val="none" w:sz="0" w:space="0" w:color="auto"/>
                <w:bottom w:val="none" w:sz="0" w:space="0" w:color="auto"/>
                <w:right w:val="none" w:sz="0" w:space="0" w:color="auto"/>
              </w:divBdr>
              <w:divsChild>
                <w:div w:id="379551141">
                  <w:marLeft w:val="0"/>
                  <w:marRight w:val="0"/>
                  <w:marTop w:val="0"/>
                  <w:marBottom w:val="0"/>
                  <w:divBdr>
                    <w:top w:val="none" w:sz="0" w:space="0" w:color="auto"/>
                    <w:left w:val="none" w:sz="0" w:space="0" w:color="auto"/>
                    <w:bottom w:val="none" w:sz="0" w:space="0" w:color="auto"/>
                    <w:right w:val="none" w:sz="0" w:space="0" w:color="auto"/>
                  </w:divBdr>
                  <w:divsChild>
                    <w:div w:id="18427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93116">
      <w:bodyDiv w:val="1"/>
      <w:marLeft w:val="0"/>
      <w:marRight w:val="0"/>
      <w:marTop w:val="0"/>
      <w:marBottom w:val="0"/>
      <w:divBdr>
        <w:top w:val="none" w:sz="0" w:space="0" w:color="auto"/>
        <w:left w:val="none" w:sz="0" w:space="0" w:color="auto"/>
        <w:bottom w:val="none" w:sz="0" w:space="0" w:color="auto"/>
        <w:right w:val="none" w:sz="0" w:space="0" w:color="auto"/>
      </w:divBdr>
    </w:div>
    <w:div w:id="19240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89/arbor.2020.798n4004" TargetMode="External"/><Relationship Id="rId3" Type="http://schemas.openxmlformats.org/officeDocument/2006/relationships/settings" Target="settings.xml"/><Relationship Id="rId7" Type="http://schemas.openxmlformats.org/officeDocument/2006/relationships/hyperlink" Target="https://doi.org/10.4324/97810031622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MORA FANDOS</dc:creator>
  <cp:keywords/>
  <dc:description/>
  <cp:lastModifiedBy>JOSE MANUEL MORA FANDOS</cp:lastModifiedBy>
  <cp:revision>4</cp:revision>
  <dcterms:created xsi:type="dcterms:W3CDTF">2022-03-16T09:02:00Z</dcterms:created>
  <dcterms:modified xsi:type="dcterms:W3CDTF">2022-03-16T11:01:00Z</dcterms:modified>
</cp:coreProperties>
</file>